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63" w:rsidRPr="009F08F6" w:rsidRDefault="003F7663" w:rsidP="00490279">
      <w:pPr>
        <w:pStyle w:val="Title"/>
        <w:spacing w:before="40"/>
        <w:jc w:val="left"/>
        <w:rPr>
          <w:rFonts w:ascii="Cambria" w:hAnsi="Cambria"/>
          <w:sz w:val="48"/>
          <w:szCs w:val="48"/>
        </w:rPr>
      </w:pPr>
      <w:r>
        <w:rPr>
          <w:rFonts w:ascii="Cambria" w:hAnsi="Cambria"/>
          <w:noProof/>
          <w:sz w:val="48"/>
          <w:szCs w:val="48"/>
        </w:rPr>
        <w:drawing>
          <wp:anchor distT="0" distB="0" distL="114300" distR="114300" simplePos="0" relativeHeight="251660288" behindDoc="0" locked="0" layoutInCell="1" allowOverlap="1">
            <wp:simplePos x="0" y="0"/>
            <wp:positionH relativeFrom="margin">
              <wp:posOffset>-457200</wp:posOffset>
            </wp:positionH>
            <wp:positionV relativeFrom="page">
              <wp:posOffset>685800</wp:posOffset>
            </wp:positionV>
            <wp:extent cx="932688" cy="914400"/>
            <wp:effectExtent l="0" t="0" r="1270" b="0"/>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3268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8F6">
        <w:rPr>
          <w:rFonts w:ascii="Cambria" w:hAnsi="Cambria"/>
          <w:sz w:val="48"/>
          <w:szCs w:val="48"/>
        </w:rPr>
        <w:t>STAFF REPORT</w:t>
      </w:r>
    </w:p>
    <w:p w:rsidR="003F7663" w:rsidRPr="000429FF" w:rsidRDefault="003F7663" w:rsidP="003F7663">
      <w:pPr>
        <w:pStyle w:val="Subtitle"/>
        <w:spacing w:after="400"/>
        <w:jc w:val="left"/>
        <w:rPr>
          <w:rFonts w:ascii="Cambria" w:hAnsi="Cambria"/>
          <w:b w:val="0"/>
          <w:sz w:val="20"/>
        </w:rPr>
      </w:pPr>
      <w:r w:rsidRPr="000429FF">
        <w:rPr>
          <w:rFonts w:ascii="Cambria" w:hAnsi="Cambria"/>
          <w:b w:val="0"/>
          <w:sz w:val="20"/>
        </w:rPr>
        <w:t xml:space="preserve">Prepared </w:t>
      </w:r>
      <w:r w:rsidR="00C50CEF">
        <w:rPr>
          <w:rFonts w:ascii="Cambria" w:hAnsi="Cambria"/>
          <w:b w:val="0"/>
          <w:sz w:val="20"/>
        </w:rPr>
        <w:t>by Nathan Page</w:t>
      </w:r>
      <w:r w:rsidR="00C04F88">
        <w:rPr>
          <w:rFonts w:ascii="Cambria" w:hAnsi="Cambria"/>
          <w:b w:val="0"/>
          <w:sz w:val="20"/>
        </w:rPr>
        <w:t>, City Planner</w:t>
      </w:r>
    </w:p>
    <w:p w:rsidR="003F7663" w:rsidRDefault="003F7663" w:rsidP="003F7663">
      <w:pPr>
        <w:rPr>
          <w:b/>
        </w:rPr>
        <w:sectPr w:rsidR="003F7663" w:rsidSect="00E841E2">
          <w:footerReference w:type="default" r:id="rId10"/>
          <w:pgSz w:w="12240" w:h="15840" w:code="1"/>
          <w:pgMar w:top="1440" w:right="1440" w:bottom="1440" w:left="1440" w:header="720" w:footer="720" w:gutter="0"/>
          <w:cols w:space="720"/>
          <w:titlePg/>
          <w:docGrid w:linePitch="272"/>
        </w:sectPr>
      </w:pPr>
    </w:p>
    <w:p w:rsidR="003F7663" w:rsidRDefault="00343115" w:rsidP="003F7663">
      <w:pPr>
        <w:rPr>
          <w:b/>
        </w:rPr>
      </w:pPr>
      <w:r>
        <w:rPr>
          <w:b/>
        </w:rPr>
        <w:lastRenderedPageBreak/>
        <w:t>Florence R-7</w:t>
      </w:r>
      <w:r w:rsidR="00C50CEF">
        <w:rPr>
          <w:b/>
        </w:rPr>
        <w:t xml:space="preserve"> </w:t>
      </w:r>
      <w:r w:rsidR="003F7663">
        <w:rPr>
          <w:b/>
        </w:rPr>
        <w:t>(RZ1</w:t>
      </w:r>
      <w:r w:rsidR="00C50CEF">
        <w:rPr>
          <w:b/>
        </w:rPr>
        <w:t>5</w:t>
      </w:r>
      <w:r w:rsidR="00872CE0">
        <w:rPr>
          <w:b/>
        </w:rPr>
        <w:t>0</w:t>
      </w:r>
      <w:r>
        <w:rPr>
          <w:b/>
        </w:rPr>
        <w:t>3</w:t>
      </w:r>
      <w:r w:rsidR="003F7663">
        <w:rPr>
          <w:b/>
        </w:rPr>
        <w:t>)</w:t>
      </w:r>
    </w:p>
    <w:p w:rsidR="003F7663" w:rsidRDefault="003F7663" w:rsidP="003F7663">
      <w:pPr>
        <w:spacing w:before="120"/>
      </w:pPr>
      <w:r w:rsidRPr="00284871">
        <w:rPr>
          <w:b/>
        </w:rPr>
        <w:t>Type of Request:</w:t>
      </w:r>
      <w:r>
        <w:t xml:space="preserve"> Rezoning</w:t>
      </w:r>
    </w:p>
    <w:p w:rsidR="003F7663" w:rsidRPr="00045FF0" w:rsidRDefault="003F7663" w:rsidP="003F7663">
      <w:pPr>
        <w:spacing w:before="120"/>
        <w:rPr>
          <w:b/>
        </w:rPr>
      </w:pPr>
      <w:r w:rsidRPr="00045FF0">
        <w:rPr>
          <w:b/>
        </w:rPr>
        <w:t>Meeting Dates</w:t>
      </w:r>
    </w:p>
    <w:p w:rsidR="003F7663" w:rsidRDefault="003F7663" w:rsidP="003F7663">
      <w:r w:rsidRPr="00045FF0">
        <w:t>Planning Board</w:t>
      </w:r>
      <w:r>
        <w:t xml:space="preserve"> on </w:t>
      </w:r>
      <w:r w:rsidR="00343115">
        <w:t>October 20</w:t>
      </w:r>
      <w:r w:rsidR="00872CE0">
        <w:t>, 201</w:t>
      </w:r>
      <w:r w:rsidR="0044032A">
        <w:t>5</w:t>
      </w:r>
    </w:p>
    <w:p w:rsidR="003F7663" w:rsidRDefault="003F7663" w:rsidP="003F7663">
      <w:r w:rsidRPr="00045FF0">
        <w:t>City Council</w:t>
      </w:r>
      <w:r>
        <w:t xml:space="preserve"> on </w:t>
      </w:r>
      <w:proofErr w:type="gramStart"/>
      <w:r w:rsidR="00343115">
        <w:t>November  3</w:t>
      </w:r>
      <w:proofErr w:type="gramEnd"/>
      <w:r w:rsidR="0044032A">
        <w:t>, 2015</w:t>
      </w:r>
    </w:p>
    <w:p w:rsidR="003F7663" w:rsidRDefault="003F7663" w:rsidP="003F7663">
      <w:pPr>
        <w:keepNext/>
        <w:rPr>
          <w:b/>
        </w:rPr>
      </w:pPr>
      <w:r w:rsidRPr="00D415FB">
        <w:rPr>
          <w:b/>
        </w:rPr>
        <w:lastRenderedPageBreak/>
        <w:t>Contact Information</w:t>
      </w:r>
    </w:p>
    <w:p w:rsidR="003F7663" w:rsidRDefault="00343115" w:rsidP="00833289">
      <w:pPr>
        <w:keepNext/>
      </w:pPr>
      <w:r>
        <w:t xml:space="preserve">Karen </w:t>
      </w:r>
      <w:proofErr w:type="spellStart"/>
      <w:r>
        <w:t>Tatko</w:t>
      </w:r>
      <w:proofErr w:type="spellEnd"/>
      <w:r w:rsidR="00B5059D">
        <w:br/>
      </w:r>
      <w:r>
        <w:t>1147 Sam Lee Road, Graham NC 27253</w:t>
      </w:r>
      <w:r w:rsidR="00B5059D">
        <w:br/>
        <w:t>336-</w:t>
      </w:r>
      <w:r>
        <w:t>269-2789</w:t>
      </w:r>
      <w:r w:rsidR="00B5059D">
        <w:t xml:space="preserve">; </w:t>
      </w:r>
      <w:r>
        <w:t>ktatko53@yahoo.com</w:t>
      </w:r>
    </w:p>
    <w:p w:rsidR="003F7663" w:rsidRPr="009F08F6" w:rsidRDefault="003F7663" w:rsidP="003F7663">
      <w:pPr>
        <w:rPr>
          <w:rFonts w:ascii="Cambria" w:hAnsi="Cambria"/>
          <w:b/>
          <w:sz w:val="24"/>
          <w:szCs w:val="24"/>
        </w:rPr>
        <w:sectPr w:rsidR="003F7663" w:rsidRPr="009F08F6" w:rsidSect="00E841E2">
          <w:type w:val="continuous"/>
          <w:pgSz w:w="12240" w:h="15840" w:code="1"/>
          <w:pgMar w:top="1440" w:right="1440" w:bottom="1440" w:left="1440" w:header="720" w:footer="720" w:gutter="0"/>
          <w:cols w:num="2" w:space="720"/>
          <w:titlePg/>
          <w:docGrid w:linePitch="272"/>
        </w:sectPr>
      </w:pPr>
    </w:p>
    <w:p w:rsidR="003F7663" w:rsidRPr="009F08F6" w:rsidRDefault="003F7663" w:rsidP="003F7663">
      <w:pPr>
        <w:spacing w:before="240"/>
        <w:rPr>
          <w:rFonts w:ascii="Cambria" w:hAnsi="Cambria"/>
          <w:b/>
          <w:sz w:val="24"/>
          <w:szCs w:val="24"/>
        </w:rPr>
      </w:pPr>
      <w:r w:rsidRPr="009F08F6">
        <w:rPr>
          <w:rFonts w:ascii="Cambria" w:hAnsi="Cambria"/>
          <w:b/>
          <w:sz w:val="24"/>
          <w:szCs w:val="24"/>
        </w:rPr>
        <w:lastRenderedPageBreak/>
        <w:t>Summary</w:t>
      </w:r>
    </w:p>
    <w:p w:rsidR="003F7663" w:rsidRDefault="00C764D5" w:rsidP="003F7663">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2057400" cy="412432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24325"/>
                        </a:xfrm>
                        <a:prstGeom prst="rect">
                          <a:avLst/>
                        </a:prstGeom>
                        <a:solidFill>
                          <a:srgbClr val="F7E9CD"/>
                        </a:solidFill>
                        <a:ln w="12700">
                          <a:solidFill>
                            <a:srgbClr val="E1AB3F"/>
                          </a:solidFill>
                          <a:miter lim="800000"/>
                          <a:headEnd/>
                          <a:tailEnd/>
                        </a:ln>
                      </wps:spPr>
                      <wps:txbx>
                        <w:txbxContent>
                          <w:p w:rsidR="00A45B3F" w:rsidRPr="0032729E" w:rsidRDefault="00A45B3F" w:rsidP="009E070A">
                            <w:pPr>
                              <w:jc w:val="center"/>
                            </w:pPr>
                            <w:r w:rsidRPr="0032729E">
                              <w:rPr>
                                <w:b/>
                                <w:u w:val="single"/>
                              </w:rPr>
                              <w:t>Location</w:t>
                            </w:r>
                            <w:r w:rsidRPr="0032729E">
                              <w:br/>
                            </w:r>
                            <w:r>
                              <w:t>111 Florence St</w:t>
                            </w:r>
                          </w:p>
                          <w:p w:rsidR="00A45B3F" w:rsidRPr="0032729E" w:rsidRDefault="00A45B3F" w:rsidP="003F7663">
                            <w:pPr>
                              <w:spacing w:before="120"/>
                              <w:jc w:val="center"/>
                            </w:pPr>
                            <w:r w:rsidRPr="00AF1DAB">
                              <w:t xml:space="preserve">GPIN: </w:t>
                            </w:r>
                            <w:r>
                              <w:t>8883176777</w:t>
                            </w:r>
                          </w:p>
                          <w:p w:rsidR="00A45B3F" w:rsidRDefault="00A45B3F" w:rsidP="00343115">
                            <w:pPr>
                              <w:jc w:val="center"/>
                            </w:pPr>
                            <w:r w:rsidRPr="000D5FF1">
                              <w:rPr>
                                <w:b/>
                                <w:u w:val="single"/>
                              </w:rPr>
                              <w:t>Current Zoning</w:t>
                            </w:r>
                            <w:r>
                              <w:rPr>
                                <w:b/>
                              </w:rPr>
                              <w:br/>
                            </w:r>
                            <w:r>
                              <w:t>Residential (medium density)</w:t>
                            </w:r>
                          </w:p>
                          <w:p w:rsidR="00A45B3F" w:rsidRPr="009F08F6" w:rsidRDefault="00A45B3F" w:rsidP="00343115">
                            <w:pPr>
                              <w:jc w:val="center"/>
                            </w:pPr>
                            <w:r>
                              <w:t>(R-12)</w:t>
                            </w:r>
                          </w:p>
                          <w:p w:rsidR="00A45B3F" w:rsidRDefault="00A45B3F" w:rsidP="003F7663">
                            <w:pPr>
                              <w:spacing w:before="120"/>
                              <w:jc w:val="center"/>
                            </w:pPr>
                            <w:r w:rsidRPr="000D5FF1">
                              <w:rPr>
                                <w:b/>
                                <w:u w:val="single"/>
                              </w:rPr>
                              <w:t>Proposed Zoning</w:t>
                            </w:r>
                            <w:r>
                              <w:rPr>
                                <w:b/>
                              </w:rPr>
                              <w:br/>
                            </w:r>
                            <w:r>
                              <w:t>Residential (high density) (R-7)</w:t>
                            </w:r>
                          </w:p>
                          <w:p w:rsidR="00A45B3F" w:rsidRDefault="00A45B3F" w:rsidP="00CF06CC">
                            <w:pPr>
                              <w:spacing w:before="120"/>
                              <w:jc w:val="center"/>
                            </w:pPr>
                            <w:r>
                              <w:rPr>
                                <w:b/>
                                <w:u w:val="single"/>
                              </w:rPr>
                              <w:t>Overlay District</w:t>
                            </w:r>
                            <w:r>
                              <w:rPr>
                                <w:b/>
                              </w:rPr>
                              <w:br/>
                            </w:r>
                            <w:r>
                              <w:t>none</w:t>
                            </w:r>
                          </w:p>
                          <w:p w:rsidR="00A45B3F" w:rsidRPr="009F08F6" w:rsidRDefault="00A45B3F" w:rsidP="003F7663">
                            <w:pPr>
                              <w:spacing w:before="120"/>
                              <w:jc w:val="center"/>
                            </w:pPr>
                            <w:r>
                              <w:rPr>
                                <w:b/>
                                <w:u w:val="single"/>
                              </w:rPr>
                              <w:t>Surrounding</w:t>
                            </w:r>
                            <w:r w:rsidRPr="000D5FF1">
                              <w:rPr>
                                <w:b/>
                                <w:u w:val="single"/>
                              </w:rPr>
                              <w:t xml:space="preserve"> Zoning</w:t>
                            </w:r>
                            <w:r>
                              <w:rPr>
                                <w:b/>
                              </w:rPr>
                              <w:br/>
                            </w:r>
                            <w:r>
                              <w:t>R-12 &amp; R-MF</w:t>
                            </w:r>
                          </w:p>
                          <w:p w:rsidR="00A45B3F" w:rsidRPr="009F08F6" w:rsidRDefault="00A45B3F" w:rsidP="003F7663">
                            <w:pPr>
                              <w:spacing w:before="120"/>
                              <w:jc w:val="center"/>
                            </w:pPr>
                            <w:r>
                              <w:rPr>
                                <w:b/>
                                <w:u w:val="single"/>
                              </w:rPr>
                              <w:t>Surrounding</w:t>
                            </w:r>
                            <w:r w:rsidRPr="000D5FF1">
                              <w:rPr>
                                <w:b/>
                                <w:u w:val="single"/>
                              </w:rPr>
                              <w:t xml:space="preserve"> </w:t>
                            </w:r>
                            <w:r>
                              <w:rPr>
                                <w:b/>
                                <w:u w:val="single"/>
                              </w:rPr>
                              <w:t>Land Uses</w:t>
                            </w:r>
                            <w:r>
                              <w:rPr>
                                <w:b/>
                              </w:rPr>
                              <w:br/>
                            </w:r>
                            <w:r>
                              <w:t>Multifamily and Vacant</w:t>
                            </w:r>
                          </w:p>
                          <w:p w:rsidR="00A45B3F" w:rsidRPr="009F08F6" w:rsidRDefault="00A45B3F" w:rsidP="00D54772">
                            <w:pPr>
                              <w:spacing w:before="120"/>
                              <w:jc w:val="center"/>
                            </w:pPr>
                            <w:r>
                              <w:rPr>
                                <w:b/>
                                <w:u w:val="single"/>
                              </w:rPr>
                              <w:t>Size</w:t>
                            </w:r>
                            <w:r>
                              <w:rPr>
                                <w:b/>
                              </w:rPr>
                              <w:br/>
                            </w:r>
                            <w:r>
                              <w:t>0.18 acres</w:t>
                            </w:r>
                          </w:p>
                          <w:p w:rsidR="00A45B3F" w:rsidRPr="009F08F6" w:rsidRDefault="00A45B3F" w:rsidP="009E070A">
                            <w:pPr>
                              <w:spacing w:before="120"/>
                              <w:jc w:val="center"/>
                            </w:pPr>
                            <w:r>
                              <w:rPr>
                                <w:b/>
                                <w:u w:val="single"/>
                              </w:rPr>
                              <w:t>Public Water &amp; Sewer</w:t>
                            </w:r>
                            <w:r>
                              <w:rPr>
                                <w:b/>
                              </w:rPr>
                              <w:br/>
                            </w:r>
                            <w:r>
                              <w:t>Yes</w:t>
                            </w:r>
                          </w:p>
                          <w:p w:rsidR="00A45B3F" w:rsidRPr="009F08F6" w:rsidRDefault="00A45B3F" w:rsidP="00CF06CC">
                            <w:pPr>
                              <w:spacing w:before="120"/>
                              <w:jc w:val="center"/>
                            </w:pPr>
                            <w:r>
                              <w:rPr>
                                <w:b/>
                                <w:u w:val="single"/>
                              </w:rPr>
                              <w:t>Floodplain</w:t>
                            </w:r>
                            <w:r>
                              <w:rPr>
                                <w:b/>
                              </w:rPr>
                              <w:br/>
                            </w:r>
                            <w:r>
                              <w:t>No</w:t>
                            </w:r>
                          </w:p>
                          <w:p w:rsidR="00A45B3F" w:rsidRPr="009F08F6" w:rsidRDefault="00A45B3F" w:rsidP="003F7663">
                            <w:pPr>
                              <w:spacing w:before="120"/>
                              <w:jc w:val="center"/>
                            </w:pPr>
                            <w:r w:rsidRPr="0027020E">
                              <w:rPr>
                                <w:b/>
                                <w:u w:val="single"/>
                              </w:rPr>
                              <w:t>Staff Recommendation</w:t>
                            </w:r>
                            <w:r>
                              <w:br/>
                              <w:t>Approval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0;width:162pt;height:324.7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" fillcolor="#f7e9cd" strokecolor="#e1ab3f" strokeweight="1pt">
                <v:textbox style="mso-fit-shape-to-text:t" inset="3.6pt,,3.6pt">
                  <w:txbxContent>
                    <w:p w:rsidR="00A45B3F" w:rsidRPr="0032729E" w:rsidRDefault="00A45B3F" w:rsidP="009E070A">
                      <w:pPr>
                        <w:jc w:val="center"/>
                      </w:pPr>
                      <w:r w:rsidRPr="0032729E">
                        <w:rPr>
                          <w:b/>
                          <w:u w:val="single"/>
                        </w:rPr>
                        <w:t>Location</w:t>
                      </w:r>
                      <w:r w:rsidRPr="0032729E">
                        <w:br/>
                      </w:r>
                      <w:r>
                        <w:t>111 Florence St</w:t>
                      </w:r>
                    </w:p>
                    <w:p w:rsidR="00A45B3F" w:rsidRPr="0032729E" w:rsidRDefault="00A45B3F" w:rsidP="003F7663">
                      <w:pPr>
                        <w:spacing w:before="120"/>
                        <w:jc w:val="center"/>
                      </w:pPr>
                      <w:r w:rsidRPr="00AF1DAB">
                        <w:t xml:space="preserve">GPIN: </w:t>
                      </w:r>
                      <w:r>
                        <w:t>8883176777</w:t>
                      </w:r>
                    </w:p>
                    <w:p w:rsidR="00A45B3F" w:rsidRDefault="00A45B3F" w:rsidP="00343115">
                      <w:pPr>
                        <w:jc w:val="center"/>
                      </w:pPr>
                      <w:r w:rsidRPr="000D5FF1">
                        <w:rPr>
                          <w:b/>
                          <w:u w:val="single"/>
                        </w:rPr>
                        <w:t>Current Zoning</w:t>
                      </w:r>
                      <w:r>
                        <w:rPr>
                          <w:b/>
                        </w:rPr>
                        <w:br/>
                      </w:r>
                      <w:r>
                        <w:t>Residential (medium density)</w:t>
                      </w:r>
                    </w:p>
                    <w:p w:rsidR="00A45B3F" w:rsidRPr="009F08F6" w:rsidRDefault="00A45B3F" w:rsidP="00343115">
                      <w:pPr>
                        <w:jc w:val="center"/>
                      </w:pPr>
                      <w:r>
                        <w:t>(R-12)</w:t>
                      </w:r>
                    </w:p>
                    <w:p w:rsidR="00A45B3F" w:rsidRDefault="00A45B3F" w:rsidP="003F7663">
                      <w:pPr>
                        <w:spacing w:before="120"/>
                        <w:jc w:val="center"/>
                      </w:pPr>
                      <w:r w:rsidRPr="000D5FF1">
                        <w:rPr>
                          <w:b/>
                          <w:u w:val="single"/>
                        </w:rPr>
                        <w:t>Proposed Zoning</w:t>
                      </w:r>
                      <w:r>
                        <w:rPr>
                          <w:b/>
                        </w:rPr>
                        <w:br/>
                      </w:r>
                      <w:r>
                        <w:t>Residential (high density) (R-7)</w:t>
                      </w:r>
                    </w:p>
                    <w:p w:rsidR="00A45B3F" w:rsidRDefault="00A45B3F" w:rsidP="00CF06CC">
                      <w:pPr>
                        <w:spacing w:before="120"/>
                        <w:jc w:val="center"/>
                      </w:pPr>
                      <w:r>
                        <w:rPr>
                          <w:b/>
                          <w:u w:val="single"/>
                        </w:rPr>
                        <w:t>Overlay District</w:t>
                      </w:r>
                      <w:r>
                        <w:rPr>
                          <w:b/>
                        </w:rPr>
                        <w:br/>
                      </w:r>
                      <w:r>
                        <w:t>none</w:t>
                      </w:r>
                    </w:p>
                    <w:p w:rsidR="00A45B3F" w:rsidRPr="009F08F6" w:rsidRDefault="00A45B3F" w:rsidP="003F7663">
                      <w:pPr>
                        <w:spacing w:before="120"/>
                        <w:jc w:val="center"/>
                      </w:pPr>
                      <w:r>
                        <w:rPr>
                          <w:b/>
                          <w:u w:val="single"/>
                        </w:rPr>
                        <w:t>Surrounding</w:t>
                      </w:r>
                      <w:r w:rsidRPr="000D5FF1">
                        <w:rPr>
                          <w:b/>
                          <w:u w:val="single"/>
                        </w:rPr>
                        <w:t xml:space="preserve"> Zoning</w:t>
                      </w:r>
                      <w:r>
                        <w:rPr>
                          <w:b/>
                        </w:rPr>
                        <w:br/>
                      </w:r>
                      <w:r>
                        <w:t>R-12 &amp; R-MF</w:t>
                      </w:r>
                    </w:p>
                    <w:p w:rsidR="00A45B3F" w:rsidRPr="009F08F6" w:rsidRDefault="00A45B3F" w:rsidP="003F7663">
                      <w:pPr>
                        <w:spacing w:before="120"/>
                        <w:jc w:val="center"/>
                      </w:pPr>
                      <w:r>
                        <w:rPr>
                          <w:b/>
                          <w:u w:val="single"/>
                        </w:rPr>
                        <w:t>Surrounding</w:t>
                      </w:r>
                      <w:r w:rsidRPr="000D5FF1">
                        <w:rPr>
                          <w:b/>
                          <w:u w:val="single"/>
                        </w:rPr>
                        <w:t xml:space="preserve"> </w:t>
                      </w:r>
                      <w:r>
                        <w:rPr>
                          <w:b/>
                          <w:u w:val="single"/>
                        </w:rPr>
                        <w:t>Land Uses</w:t>
                      </w:r>
                      <w:r>
                        <w:rPr>
                          <w:b/>
                        </w:rPr>
                        <w:br/>
                      </w:r>
                      <w:r>
                        <w:t>Multifamily and Vacant</w:t>
                      </w:r>
                    </w:p>
                    <w:p w:rsidR="00A45B3F" w:rsidRPr="009F08F6" w:rsidRDefault="00A45B3F" w:rsidP="00D54772">
                      <w:pPr>
                        <w:spacing w:before="120"/>
                        <w:jc w:val="center"/>
                      </w:pPr>
                      <w:r>
                        <w:rPr>
                          <w:b/>
                          <w:u w:val="single"/>
                        </w:rPr>
                        <w:t>Size</w:t>
                      </w:r>
                      <w:r>
                        <w:rPr>
                          <w:b/>
                        </w:rPr>
                        <w:br/>
                      </w:r>
                      <w:r>
                        <w:t>0.18 acres</w:t>
                      </w:r>
                    </w:p>
                    <w:p w:rsidR="00A45B3F" w:rsidRPr="009F08F6" w:rsidRDefault="00A45B3F" w:rsidP="009E070A">
                      <w:pPr>
                        <w:spacing w:before="120"/>
                        <w:jc w:val="center"/>
                      </w:pPr>
                      <w:r>
                        <w:rPr>
                          <w:b/>
                          <w:u w:val="single"/>
                        </w:rPr>
                        <w:t>Public Water &amp; Sewer</w:t>
                      </w:r>
                      <w:r>
                        <w:rPr>
                          <w:b/>
                        </w:rPr>
                        <w:br/>
                      </w:r>
                      <w:r>
                        <w:t>Yes</w:t>
                      </w:r>
                    </w:p>
                    <w:p w:rsidR="00A45B3F" w:rsidRPr="009F08F6" w:rsidRDefault="00A45B3F" w:rsidP="00CF06CC">
                      <w:pPr>
                        <w:spacing w:before="120"/>
                        <w:jc w:val="center"/>
                      </w:pPr>
                      <w:r>
                        <w:rPr>
                          <w:b/>
                          <w:u w:val="single"/>
                        </w:rPr>
                        <w:t>Floodplain</w:t>
                      </w:r>
                      <w:r>
                        <w:rPr>
                          <w:b/>
                        </w:rPr>
                        <w:br/>
                      </w:r>
                      <w:r>
                        <w:t>No</w:t>
                      </w:r>
                    </w:p>
                    <w:p w:rsidR="00A45B3F" w:rsidRPr="009F08F6" w:rsidRDefault="00A45B3F" w:rsidP="003F7663">
                      <w:pPr>
                        <w:spacing w:before="120"/>
                        <w:jc w:val="center"/>
                      </w:pPr>
                      <w:r w:rsidRPr="0027020E">
                        <w:rPr>
                          <w:b/>
                          <w:u w:val="single"/>
                        </w:rPr>
                        <w:t>Staff Recommendation</w:t>
                      </w:r>
                      <w:r>
                        <w:br/>
                        <w:t>Approval</w:t>
                      </w:r>
                    </w:p>
                  </w:txbxContent>
                </v:textbox>
                <w10:wrap type="square" anchorx="margin"/>
              </v:shape>
            </w:pict>
          </mc:Fallback>
        </mc:AlternateContent>
      </w:r>
      <w:r w:rsidR="003F7663">
        <w:t>This is a request to rezone the subject propert</w:t>
      </w:r>
      <w:r w:rsidR="00872CE0">
        <w:t>y</w:t>
      </w:r>
      <w:r w:rsidR="003F7663">
        <w:t xml:space="preserve"> from </w:t>
      </w:r>
      <w:r w:rsidR="006848F2">
        <w:t>R-</w:t>
      </w:r>
      <w:r w:rsidR="00343115">
        <w:t>12</w:t>
      </w:r>
      <w:r w:rsidR="006848F2">
        <w:t xml:space="preserve"> to </w:t>
      </w:r>
      <w:r w:rsidR="006848F2">
        <w:br/>
        <w:t>R-</w:t>
      </w:r>
      <w:r w:rsidR="00343115">
        <w:t>7</w:t>
      </w:r>
      <w:r w:rsidR="003F7663">
        <w:t xml:space="preserve">. </w:t>
      </w:r>
      <w:r w:rsidR="003F7663" w:rsidRPr="007E6489">
        <w:t>The propert</w:t>
      </w:r>
      <w:r w:rsidR="00C50CEF">
        <w:t xml:space="preserve">y is currently </w:t>
      </w:r>
      <w:r w:rsidR="0044032A">
        <w:t>vacant</w:t>
      </w:r>
      <w:r w:rsidR="003F7663">
        <w:t xml:space="preserve">. </w:t>
      </w:r>
      <w:r w:rsidR="00E841E2">
        <w:t>T</w:t>
      </w:r>
      <w:r w:rsidR="003F7663">
        <w:t>he stated reason for this rezoning request is “</w:t>
      </w:r>
      <w:r w:rsidR="00343115">
        <w:t>to get single family residence of equal or greater size as previously existed</w:t>
      </w:r>
      <w:r w:rsidR="006848F2">
        <w:t>.</w:t>
      </w:r>
      <w:r w:rsidR="00F676EA">
        <w:t>”</w:t>
      </w:r>
      <w:r w:rsidR="005C3BB2">
        <w:t xml:space="preserve"> </w:t>
      </w:r>
    </w:p>
    <w:p w:rsidR="003F7663" w:rsidRDefault="00343115" w:rsidP="003F7663">
      <w:pPr>
        <w:pStyle w:val="body"/>
      </w:pPr>
      <w:r>
        <w:rPr>
          <w:noProof/>
        </w:rPr>
        <w:drawing>
          <wp:inline distT="0" distB="0" distL="0" distR="0" wp14:anchorId="2AE35DFC" wp14:editId="5B862CDA">
            <wp:extent cx="3710620" cy="37052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279" t="1396"/>
                    <a:stretch/>
                  </pic:blipFill>
                  <pic:spPr bwMode="auto">
                    <a:xfrm>
                      <a:off x="0" y="0"/>
                      <a:ext cx="3727622" cy="3722202"/>
                    </a:xfrm>
                    <a:prstGeom prst="rect">
                      <a:avLst/>
                    </a:prstGeom>
                    <a:ln>
                      <a:noFill/>
                    </a:ln>
                    <a:extLst>
                      <a:ext uri="{53640926-AAD7-44D8-BBD7-CCE9431645EC}">
                        <a14:shadowObscured xmlns:a14="http://schemas.microsoft.com/office/drawing/2010/main"/>
                      </a:ext>
                    </a:extLst>
                  </pic:spPr>
                </pic:pic>
              </a:graphicData>
            </a:graphic>
          </wp:inline>
        </w:drawing>
      </w:r>
    </w:p>
    <w:p w:rsidR="007A1D0D" w:rsidRDefault="007A1D0D" w:rsidP="003F7663">
      <w:pPr>
        <w:pStyle w:val="body"/>
      </w:pPr>
    </w:p>
    <w:p w:rsidR="006848F2" w:rsidRDefault="006848F2" w:rsidP="003F7663">
      <w:pPr>
        <w:pStyle w:val="body"/>
      </w:pPr>
    </w:p>
    <w:p w:rsidR="006848F2" w:rsidRDefault="006848F2" w:rsidP="003F7663">
      <w:pPr>
        <w:pStyle w:val="body"/>
      </w:pPr>
    </w:p>
    <w:p w:rsidR="007A1D0D" w:rsidRPr="00C20B99" w:rsidRDefault="007A1D0D" w:rsidP="003F7663">
      <w:pPr>
        <w:pStyle w:val="body"/>
      </w:pPr>
    </w:p>
    <w:p w:rsidR="003F7663" w:rsidRPr="000631CE" w:rsidRDefault="003F7663" w:rsidP="003F7663">
      <w:pPr>
        <w:keepNext/>
        <w:spacing w:before="360" w:after="120"/>
        <w:rPr>
          <w:rFonts w:ascii="Cambria" w:hAnsi="Cambria"/>
          <w:b/>
          <w:sz w:val="24"/>
          <w:szCs w:val="24"/>
        </w:rPr>
      </w:pPr>
      <w:r w:rsidRPr="000631CE">
        <w:rPr>
          <w:rFonts w:ascii="Cambria" w:hAnsi="Cambria"/>
          <w:b/>
          <w:sz w:val="24"/>
          <w:szCs w:val="24"/>
        </w:rPr>
        <w:lastRenderedPageBreak/>
        <w:t xml:space="preserve">Conformity to the </w:t>
      </w:r>
      <w:r w:rsidR="002735C4">
        <w:rPr>
          <w:rFonts w:ascii="Cambria" w:hAnsi="Cambria"/>
          <w:b/>
          <w:i/>
          <w:sz w:val="24"/>
          <w:szCs w:val="24"/>
        </w:rPr>
        <w:t>Graham 2035 Comprehensive</w:t>
      </w:r>
      <w:r w:rsidRPr="000631CE">
        <w:rPr>
          <w:rFonts w:ascii="Cambria" w:hAnsi="Cambria"/>
          <w:b/>
          <w:i/>
          <w:sz w:val="24"/>
          <w:szCs w:val="24"/>
        </w:rPr>
        <w:t xml:space="preserve"> Plan</w:t>
      </w:r>
      <w:r w:rsidRPr="000631CE">
        <w:rPr>
          <w:rFonts w:ascii="Cambria" w:hAnsi="Cambria"/>
          <w:b/>
          <w:sz w:val="24"/>
          <w:szCs w:val="24"/>
        </w:rPr>
        <w:t xml:space="preserve"> (G</w:t>
      </w:r>
      <w:r w:rsidR="002735C4">
        <w:rPr>
          <w:rFonts w:ascii="Cambria" w:hAnsi="Cambria"/>
          <w:b/>
          <w:sz w:val="24"/>
          <w:szCs w:val="24"/>
        </w:rPr>
        <w:t>CP</w:t>
      </w:r>
      <w:r w:rsidRPr="000631CE">
        <w:rPr>
          <w:rFonts w:ascii="Cambria" w:hAnsi="Cambria"/>
          <w:b/>
          <w:sz w:val="24"/>
          <w:szCs w:val="24"/>
        </w:rPr>
        <w:t>) and Other Adopted Plans</w:t>
      </w:r>
    </w:p>
    <w:p w:rsidR="003F7663" w:rsidRPr="000631CE" w:rsidRDefault="00C764D5" w:rsidP="00C878CD">
      <w:pPr>
        <w:keepNext/>
        <w:rPr>
          <w:rFonts w:cs="Calibri"/>
          <w:szCs w:val="22"/>
        </w:rPr>
      </w:pPr>
      <w:r w:rsidRPr="000631CE">
        <w:rPr>
          <w:rFonts w:cs="Calibri"/>
          <w:noProof/>
          <w:szCs w:val="22"/>
        </w:rPr>
        <mc:AlternateContent>
          <mc:Choice Requires="wps">
            <w:drawing>
              <wp:anchor distT="0" distB="0" distL="114300" distR="114300" simplePos="0" relativeHeight="251662336" behindDoc="0" locked="0" layoutInCell="1" allowOverlap="1" wp14:anchorId="7D4BA35B" wp14:editId="59C6D17E">
                <wp:simplePos x="0" y="0"/>
                <wp:positionH relativeFrom="margin">
                  <wp:align>right</wp:align>
                </wp:positionH>
                <wp:positionV relativeFrom="paragraph">
                  <wp:posOffset>63500</wp:posOffset>
                </wp:positionV>
                <wp:extent cx="2057400" cy="3801745"/>
                <wp:effectExtent l="0" t="0" r="19050" b="260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01745"/>
                        </a:xfrm>
                        <a:prstGeom prst="rect">
                          <a:avLst/>
                        </a:prstGeom>
                        <a:solidFill>
                          <a:srgbClr val="F7E9CD"/>
                        </a:solidFill>
                        <a:ln w="12700">
                          <a:solidFill>
                            <a:srgbClr val="E1AB3F"/>
                          </a:solidFill>
                          <a:miter lim="800000"/>
                          <a:headEnd/>
                          <a:tailEnd/>
                        </a:ln>
                      </wps:spPr>
                      <wps:txbx>
                        <w:txbxContent>
                          <w:p w:rsidR="00A45B3F" w:rsidRPr="0032729E" w:rsidRDefault="00A45B3F" w:rsidP="00C878CD">
                            <w:pPr>
                              <w:jc w:val="center"/>
                            </w:pPr>
                            <w:r>
                              <w:rPr>
                                <w:b/>
                                <w:u w:val="single"/>
                              </w:rPr>
                              <w:t>Planning Type</w:t>
                            </w:r>
                            <w:r w:rsidRPr="0032729E">
                              <w:br/>
                            </w:r>
                            <w:r>
                              <w:t>Neighborhood</w:t>
                            </w:r>
                          </w:p>
                          <w:p w:rsidR="00A45B3F" w:rsidRPr="00F00D38" w:rsidRDefault="00A45B3F" w:rsidP="00C878CD">
                            <w:pPr>
                              <w:spacing w:before="120"/>
                              <w:jc w:val="center"/>
                              <w:rPr>
                                <w:szCs w:val="22"/>
                              </w:rPr>
                            </w:pPr>
                            <w:r w:rsidRPr="000F154B">
                              <w:rPr>
                                <w:b/>
                                <w:szCs w:val="22"/>
                                <w:u w:val="single"/>
                              </w:rPr>
                              <w:t>Development Type</w:t>
                            </w:r>
                            <w:r w:rsidRPr="00F00D38">
                              <w:rPr>
                                <w:szCs w:val="22"/>
                              </w:rPr>
                              <w:br/>
                            </w:r>
                            <w:r>
                              <w:rPr>
                                <w:szCs w:val="22"/>
                              </w:rPr>
                              <w:t>Suburban Residential</w:t>
                            </w:r>
                          </w:p>
                          <w:p w:rsidR="00A45B3F" w:rsidRDefault="00A45B3F" w:rsidP="005645C5">
                            <w:pPr>
                              <w:spacing w:before="120"/>
                              <w:jc w:val="center"/>
                            </w:pPr>
                            <w:r>
                              <w:t>For single family residential, townhouses, duplexes, accessory dwelling units, and small scale multi-family dwelling of twelve units or less.</w:t>
                            </w:r>
                          </w:p>
                          <w:p w:rsidR="00A45B3F" w:rsidRDefault="00A45B3F" w:rsidP="005645C5">
                            <w:pPr>
                              <w:spacing w:before="120"/>
                              <w:jc w:val="center"/>
                            </w:pPr>
                            <w:r>
                              <w:t>Buildings should be located near the front of the property line, oriented towards the street, and include front porches and other private outdoor spaces.</w:t>
                            </w:r>
                          </w:p>
                          <w:p w:rsidR="00A45B3F" w:rsidRDefault="00A45B3F" w:rsidP="005645C5">
                            <w:pPr>
                              <w:spacing w:before="120"/>
                              <w:jc w:val="center"/>
                            </w:pPr>
                            <w:r>
                              <w:t>Recess garages behind the front of buildings to avoid streetscapes dominated by garage doors.</w:t>
                            </w:r>
                          </w:p>
                          <w:p w:rsidR="00A45B3F" w:rsidRDefault="00A45B3F" w:rsidP="005645C5">
                            <w:pPr>
                              <w:spacing w:before="120"/>
                              <w:jc w:val="center"/>
                            </w:pPr>
                            <w:r>
                              <w:t xml:space="preserve">Density </w:t>
                            </w:r>
                            <w:proofErr w:type="gramStart"/>
                            <w:r>
                              <w:t>of 3 to 6 DU/acre</w:t>
                            </w:r>
                            <w:proofErr w:type="gramEnd"/>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10.8pt;margin-top:5pt;width:162pt;height:299.35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" fillcolor="#f7e9cd" strokecolor="#e1ab3f" strokeweight="1pt">
                <v:textbox style="mso-fit-shape-to-text:t" inset="3.6pt,,3.6pt">
                  <w:txbxContent>
                    <w:p w:rsidR="00A45B3F" w:rsidRPr="0032729E" w:rsidRDefault="00A45B3F" w:rsidP="00C878CD">
                      <w:pPr>
                        <w:jc w:val="center"/>
                      </w:pPr>
                      <w:r>
                        <w:rPr>
                          <w:b/>
                          <w:u w:val="single"/>
                        </w:rPr>
                        <w:t>Planning Type</w:t>
                      </w:r>
                      <w:r w:rsidRPr="0032729E">
                        <w:br/>
                      </w:r>
                      <w:r>
                        <w:t>Neighborhood</w:t>
                      </w:r>
                    </w:p>
                    <w:p w:rsidR="00A45B3F" w:rsidRPr="00F00D38" w:rsidRDefault="00A45B3F" w:rsidP="00C878CD">
                      <w:pPr>
                        <w:spacing w:before="120"/>
                        <w:jc w:val="center"/>
                        <w:rPr>
                          <w:szCs w:val="22"/>
                        </w:rPr>
                      </w:pPr>
                      <w:r w:rsidRPr="000F154B">
                        <w:rPr>
                          <w:b/>
                          <w:szCs w:val="22"/>
                          <w:u w:val="single"/>
                        </w:rPr>
                        <w:t>Development Type</w:t>
                      </w:r>
                      <w:r w:rsidRPr="00F00D38">
                        <w:rPr>
                          <w:szCs w:val="22"/>
                        </w:rPr>
                        <w:br/>
                      </w:r>
                      <w:r>
                        <w:rPr>
                          <w:szCs w:val="22"/>
                        </w:rPr>
                        <w:t>Suburban Residential</w:t>
                      </w:r>
                    </w:p>
                    <w:p w:rsidR="00A45B3F" w:rsidRDefault="00A45B3F" w:rsidP="005645C5">
                      <w:pPr>
                        <w:spacing w:before="120"/>
                        <w:jc w:val="center"/>
                      </w:pPr>
                      <w:r>
                        <w:t>For single family residential, townhouses, duplexes, accessory dwelling units, and small scale multi-family dwelling of twelve units or less.</w:t>
                      </w:r>
                    </w:p>
                    <w:p w:rsidR="00A45B3F" w:rsidRDefault="00A45B3F" w:rsidP="005645C5">
                      <w:pPr>
                        <w:spacing w:before="120"/>
                        <w:jc w:val="center"/>
                      </w:pPr>
                      <w:r>
                        <w:t>Buildings should be located near the front of the property line, oriented towards the street, and include front porches and other private outdoor spaces.</w:t>
                      </w:r>
                    </w:p>
                    <w:p w:rsidR="00A45B3F" w:rsidRDefault="00A45B3F" w:rsidP="005645C5">
                      <w:pPr>
                        <w:spacing w:before="120"/>
                        <w:jc w:val="center"/>
                      </w:pPr>
                      <w:r>
                        <w:t>Recess garages behind the front of buildings to avoid streetscapes dominated by garage doors.</w:t>
                      </w:r>
                    </w:p>
                    <w:p w:rsidR="00A45B3F" w:rsidRDefault="00A45B3F" w:rsidP="005645C5">
                      <w:pPr>
                        <w:spacing w:before="120"/>
                        <w:jc w:val="center"/>
                      </w:pPr>
                      <w:r>
                        <w:t xml:space="preserve">Density </w:t>
                      </w:r>
                      <w:proofErr w:type="gramStart"/>
                      <w:r>
                        <w:t>of 3 to 6 DU/acre</w:t>
                      </w:r>
                      <w:proofErr w:type="gramEnd"/>
                    </w:p>
                  </w:txbxContent>
                </v:textbox>
                <w10:wrap type="square" anchorx="margin"/>
              </v:shape>
            </w:pict>
          </mc:Fallback>
        </mc:AlternateContent>
      </w:r>
      <w:r w:rsidR="003F7663" w:rsidRPr="000631CE">
        <w:rPr>
          <w:rFonts w:cs="Calibri"/>
          <w:b/>
          <w:szCs w:val="22"/>
        </w:rPr>
        <w:t xml:space="preserve">Applicable </w:t>
      </w:r>
      <w:r w:rsidR="00A45B3F">
        <w:rPr>
          <w:rFonts w:cs="Calibri"/>
          <w:b/>
          <w:szCs w:val="22"/>
        </w:rPr>
        <w:t>Policies</w:t>
      </w:r>
      <w:r w:rsidR="00405D77">
        <w:rPr>
          <w:rFonts w:cs="Calibri"/>
          <w:b/>
          <w:szCs w:val="22"/>
        </w:rPr>
        <w:t>;</w:t>
      </w:r>
    </w:p>
    <w:p w:rsidR="00A45B3F" w:rsidRPr="00293328" w:rsidRDefault="00A45B3F" w:rsidP="00A45B3F">
      <w:pPr>
        <w:pStyle w:val="list-1"/>
        <w:numPr>
          <w:ilvl w:val="0"/>
          <w:numId w:val="2"/>
        </w:numPr>
        <w:ind w:left="360" w:hanging="180"/>
      </w:pPr>
      <w:r>
        <w:t xml:space="preserve">3.3.2 Focused Development. In order to maintain Graham’s affordability and promote growth, the city will facilitate smart growth development by promoting infill development and focused, walkable, and mixed use built environments. </w:t>
      </w:r>
      <w:r>
        <w:rPr>
          <w:i/>
        </w:rPr>
        <w:t>This parcel is a walkable distance to commercial uses, and would permit infill development where a single family house once stood.</w:t>
      </w:r>
    </w:p>
    <w:p w:rsidR="00293328" w:rsidRDefault="00293328" w:rsidP="00A45B3F">
      <w:pPr>
        <w:pStyle w:val="list-1"/>
        <w:numPr>
          <w:ilvl w:val="0"/>
          <w:numId w:val="2"/>
        </w:numPr>
        <w:ind w:left="360" w:hanging="180"/>
      </w:pPr>
      <w:r>
        <w:t xml:space="preserve">5.1.1 Housing Variety. Encourage a mix of housing types within Graham to increase choice. These can include single family dwelling units, multifamily dwelling units, small units, pre-fabricated homes, co-housing, and clustered housing. </w:t>
      </w:r>
      <w:r>
        <w:rPr>
          <w:i/>
        </w:rPr>
        <w:t xml:space="preserve">This parcel is adjacent to a multi-family parcel, and a parcel </w:t>
      </w:r>
      <w:bookmarkStart w:id="0" w:name="_GoBack"/>
      <w:bookmarkEnd w:id="0"/>
      <w:r>
        <w:rPr>
          <w:i/>
        </w:rPr>
        <w:t>currently zoned R-12.</w:t>
      </w:r>
    </w:p>
    <w:p w:rsidR="003F7663" w:rsidRDefault="00405D77" w:rsidP="003F7663">
      <w:pPr>
        <w:spacing w:before="240"/>
        <w:rPr>
          <w:rFonts w:cs="Calibri"/>
          <w:b/>
          <w:szCs w:val="22"/>
        </w:rPr>
      </w:pPr>
      <w:r w:rsidRPr="000631CE">
        <w:rPr>
          <w:rFonts w:cs="Calibri"/>
          <w:b/>
          <w:szCs w:val="22"/>
        </w:rPr>
        <w:t xml:space="preserve">Applicable </w:t>
      </w:r>
      <w:r w:rsidR="00A45B3F">
        <w:rPr>
          <w:rFonts w:cs="Calibri"/>
          <w:b/>
          <w:szCs w:val="22"/>
        </w:rPr>
        <w:t>Strategies</w:t>
      </w:r>
      <w:r>
        <w:rPr>
          <w:rFonts w:cs="Calibri"/>
          <w:b/>
          <w:szCs w:val="22"/>
        </w:rPr>
        <w:t>;</w:t>
      </w:r>
    </w:p>
    <w:p w:rsidR="00A45B3F" w:rsidRDefault="00A45B3F" w:rsidP="00A45B3F">
      <w:pPr>
        <w:pStyle w:val="list-1"/>
        <w:numPr>
          <w:ilvl w:val="0"/>
          <w:numId w:val="2"/>
        </w:numPr>
        <w:ind w:left="360" w:hanging="180"/>
      </w:pPr>
      <w:r>
        <w:t xml:space="preserve">4.3.1 Land Use Patterns. Promote development of efficient land use patterns to allow continued quality and efficiency of water systems. Discourage the extension of water service into areas that are not most suitable for development.  </w:t>
      </w:r>
      <w:r>
        <w:rPr>
          <w:i/>
        </w:rPr>
        <w:t>The site would use existing city infrastructure.</w:t>
      </w:r>
    </w:p>
    <w:p w:rsidR="00077B8F" w:rsidRPr="000631CE" w:rsidRDefault="00077B8F" w:rsidP="00077B8F"/>
    <w:p w:rsidR="003F7663" w:rsidRPr="004F474C" w:rsidRDefault="003F7663" w:rsidP="003F7663">
      <w:pPr>
        <w:pBdr>
          <w:top w:val="single" w:sz="4" w:space="1" w:color="auto"/>
        </w:pBdr>
        <w:spacing w:before="240"/>
        <w:rPr>
          <w:rFonts w:ascii="Cambria" w:hAnsi="Cambria"/>
          <w:b/>
          <w:sz w:val="24"/>
          <w:szCs w:val="24"/>
        </w:rPr>
      </w:pPr>
      <w:r w:rsidRPr="004F474C">
        <w:rPr>
          <w:rFonts w:ascii="Cambria" w:hAnsi="Cambria"/>
          <w:b/>
          <w:sz w:val="24"/>
          <w:szCs w:val="24"/>
        </w:rPr>
        <w:t>Staff Recommendation</w:t>
      </w:r>
    </w:p>
    <w:p w:rsidR="004F474C" w:rsidRPr="00133ACC" w:rsidRDefault="004F474C" w:rsidP="004F474C">
      <w:r w:rsidRPr="00133ACC">
        <w:t xml:space="preserve">Based on the </w:t>
      </w:r>
      <w:r w:rsidRPr="00133ACC">
        <w:rPr>
          <w:i/>
        </w:rPr>
        <w:t>G</w:t>
      </w:r>
      <w:r w:rsidR="003730F0">
        <w:rPr>
          <w:i/>
        </w:rPr>
        <w:t xml:space="preserve">raham 2035 Comprehensive Plan </w:t>
      </w:r>
      <w:r w:rsidRPr="00133ACC">
        <w:t xml:space="preserve">and the </w:t>
      </w:r>
      <w:r w:rsidRPr="00133ACC">
        <w:rPr>
          <w:i/>
        </w:rPr>
        <w:t>City of Graham Development Ordinance</w:t>
      </w:r>
      <w:r w:rsidRPr="00133ACC">
        <w:t>, staff</w:t>
      </w:r>
      <w:r w:rsidRPr="00133ACC">
        <w:rPr>
          <w:b/>
        </w:rPr>
        <w:t xml:space="preserve"> </w:t>
      </w:r>
      <w:r w:rsidRPr="003730F0">
        <w:t>recommends</w:t>
      </w:r>
      <w:r w:rsidRPr="00133ACC">
        <w:rPr>
          <w:b/>
        </w:rPr>
        <w:t xml:space="preserve"> </w:t>
      </w:r>
      <w:r w:rsidR="00103DE5">
        <w:rPr>
          <w:b/>
        </w:rPr>
        <w:t>approval</w:t>
      </w:r>
      <w:r w:rsidRPr="00133ACC">
        <w:t xml:space="preserve"> of the rezoning. The following supports this recommendation:</w:t>
      </w:r>
    </w:p>
    <w:p w:rsidR="004F474C" w:rsidRPr="00133ACC" w:rsidRDefault="004F474C" w:rsidP="004F474C">
      <w:pPr>
        <w:pStyle w:val="list-1"/>
      </w:pPr>
      <w:r w:rsidRPr="00133ACC">
        <w:t>Rezoning the property</w:t>
      </w:r>
      <w:r w:rsidR="00755C6C" w:rsidRPr="00133ACC">
        <w:t xml:space="preserve"> </w:t>
      </w:r>
      <w:r w:rsidR="00293328">
        <w:t xml:space="preserve">would be consistence with the Suburban Residential type and </w:t>
      </w:r>
      <w:r w:rsidR="00755C6C" w:rsidRPr="00133ACC">
        <w:t>further</w:t>
      </w:r>
      <w:r w:rsidR="00293328">
        <w:t>s the policies and strategies put forth by the</w:t>
      </w:r>
      <w:r w:rsidR="00755C6C" w:rsidRPr="00133ACC">
        <w:t xml:space="preserve"> </w:t>
      </w:r>
      <w:r w:rsidR="00755C6C" w:rsidRPr="00133ACC">
        <w:rPr>
          <w:i/>
        </w:rPr>
        <w:t>G</w:t>
      </w:r>
      <w:r w:rsidR="00293328">
        <w:rPr>
          <w:i/>
        </w:rPr>
        <w:t>raham 2035 Comprehensive Plan</w:t>
      </w:r>
      <w:r w:rsidR="00133ACC" w:rsidRPr="00133ACC">
        <w:t>,</w:t>
      </w:r>
      <w:r w:rsidR="00077B8F" w:rsidRPr="00133ACC">
        <w:t xml:space="preserve"> such as infill development</w:t>
      </w:r>
      <w:r w:rsidR="00436299">
        <w:t xml:space="preserve">. </w:t>
      </w:r>
    </w:p>
    <w:p w:rsidR="003B00DE" w:rsidRPr="000A5CC2" w:rsidRDefault="003B00DE" w:rsidP="004F474C"/>
    <w:sectPr w:rsidR="003B00DE" w:rsidRPr="000A5CC2" w:rsidSect="00E841E2">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3F" w:rsidRDefault="00A45B3F" w:rsidP="00833289">
      <w:r>
        <w:separator/>
      </w:r>
    </w:p>
  </w:endnote>
  <w:endnote w:type="continuationSeparator" w:id="0">
    <w:p w:rsidR="00A45B3F" w:rsidRDefault="00A45B3F" w:rsidP="0083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3F" w:rsidRPr="00885860" w:rsidRDefault="00A45B3F" w:rsidP="00E841E2">
    <w:pPr>
      <w:pStyle w:val="Footer"/>
      <w:tabs>
        <w:tab w:val="clear" w:pos="4320"/>
        <w:tab w:val="clear" w:pos="8640"/>
        <w:tab w:val="right" w:pos="9360"/>
      </w:tabs>
      <w:rPr>
        <w:sz w:val="16"/>
        <w:szCs w:val="16"/>
      </w:rPr>
    </w:pPr>
    <w:r w:rsidRPr="00885860">
      <w:rPr>
        <w:sz w:val="16"/>
        <w:szCs w:val="16"/>
      </w:rPr>
      <w:t>Staff Report</w:t>
    </w:r>
    <w:r>
      <w:rPr>
        <w:sz w:val="16"/>
        <w:szCs w:val="16"/>
      </w:rPr>
      <w:t>, Florence St. R-7</w:t>
    </w:r>
    <w:r w:rsidRPr="00522476">
      <w:rPr>
        <w:sz w:val="16"/>
        <w:szCs w:val="16"/>
      </w:rPr>
      <w:t xml:space="preserve"> (</w:t>
    </w:r>
    <w:r>
      <w:rPr>
        <w:sz w:val="16"/>
        <w:szCs w:val="16"/>
      </w:rPr>
      <w:t>RZ1503</w:t>
    </w:r>
    <w:r w:rsidRPr="00522476">
      <w:rPr>
        <w:sz w:val="16"/>
        <w:szCs w:val="16"/>
      </w:rPr>
      <w:t>)</w:t>
    </w:r>
    <w:r w:rsidRPr="00885860">
      <w:rPr>
        <w:sz w:val="16"/>
        <w:szCs w:val="16"/>
      </w:rPr>
      <w:tab/>
      <w:t xml:space="preserve">Page </w:t>
    </w:r>
    <w:r w:rsidRPr="00885860">
      <w:rPr>
        <w:b/>
        <w:sz w:val="16"/>
        <w:szCs w:val="16"/>
      </w:rPr>
      <w:fldChar w:fldCharType="begin"/>
    </w:r>
    <w:r w:rsidRPr="00885860">
      <w:rPr>
        <w:b/>
        <w:sz w:val="16"/>
        <w:szCs w:val="16"/>
      </w:rPr>
      <w:instrText xml:space="preserve"> PAGE  \* Arabic  \* MERGEFORMAT </w:instrText>
    </w:r>
    <w:r w:rsidRPr="00885860">
      <w:rPr>
        <w:b/>
        <w:sz w:val="16"/>
        <w:szCs w:val="16"/>
      </w:rPr>
      <w:fldChar w:fldCharType="separate"/>
    </w:r>
    <w:r w:rsidR="00AE4E0D">
      <w:rPr>
        <w:b/>
        <w:noProof/>
        <w:sz w:val="16"/>
        <w:szCs w:val="16"/>
      </w:rPr>
      <w:t>2</w:t>
    </w:r>
    <w:r w:rsidRPr="00885860">
      <w:rPr>
        <w:b/>
        <w:sz w:val="16"/>
        <w:szCs w:val="16"/>
      </w:rPr>
      <w:fldChar w:fldCharType="end"/>
    </w:r>
    <w:r w:rsidRPr="00885860">
      <w:rPr>
        <w:sz w:val="16"/>
        <w:szCs w:val="16"/>
      </w:rPr>
      <w:t xml:space="preserve"> of </w:t>
    </w:r>
    <w:r w:rsidR="00AE4E0D">
      <w:fldChar w:fldCharType="begin"/>
    </w:r>
    <w:r w:rsidR="00AE4E0D">
      <w:instrText xml:space="preserve"> NUMPAGES  \* Arabic  \* MERGEFORMAT </w:instrText>
    </w:r>
    <w:r w:rsidR="00AE4E0D">
      <w:fldChar w:fldCharType="separate"/>
    </w:r>
    <w:r w:rsidR="00AE4E0D" w:rsidRPr="00AE4E0D">
      <w:rPr>
        <w:b/>
        <w:noProof/>
        <w:sz w:val="16"/>
        <w:szCs w:val="16"/>
      </w:rPr>
      <w:t>2</w:t>
    </w:r>
    <w:r w:rsidR="00AE4E0D">
      <w:rPr>
        <w:b/>
        <w:noProof/>
        <w:sz w:val="16"/>
        <w:szCs w:val="16"/>
      </w:rPr>
      <w:fldChar w:fldCharType="end"/>
    </w:r>
    <w:r w:rsidRPr="00885860">
      <w:rPr>
        <w:b/>
        <w:sz w:val="16"/>
        <w:szCs w:val="16"/>
      </w:rPr>
      <w:br/>
    </w:r>
    <w:r w:rsidRPr="00885860">
      <w:rPr>
        <w:sz w:val="16"/>
        <w:szCs w:val="16"/>
      </w:rPr>
      <w:t xml:space="preserve">Planning Board on </w:t>
    </w:r>
    <w:r>
      <w:rPr>
        <w:sz w:val="16"/>
        <w:szCs w:val="16"/>
      </w:rPr>
      <w:t>October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3F" w:rsidRDefault="00A45B3F" w:rsidP="00833289">
      <w:r>
        <w:separator/>
      </w:r>
    </w:p>
  </w:footnote>
  <w:footnote w:type="continuationSeparator" w:id="0">
    <w:p w:rsidR="00A45B3F" w:rsidRDefault="00A45B3F" w:rsidP="00833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3682"/>
    <w:multiLevelType w:val="hybridMultilevel"/>
    <w:tmpl w:val="0AAEFFAA"/>
    <w:lvl w:ilvl="0" w:tplc="BD3EA66E">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740D9"/>
    <w:multiLevelType w:val="hybridMultilevel"/>
    <w:tmpl w:val="1D9C5A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63"/>
    <w:rsid w:val="00016420"/>
    <w:rsid w:val="000631CE"/>
    <w:rsid w:val="00077B8F"/>
    <w:rsid w:val="000A5CC2"/>
    <w:rsid w:val="000B03D0"/>
    <w:rsid w:val="000B22EB"/>
    <w:rsid w:val="000C6CC4"/>
    <w:rsid w:val="00103DE5"/>
    <w:rsid w:val="00113F42"/>
    <w:rsid w:val="00133ACC"/>
    <w:rsid w:val="001847E5"/>
    <w:rsid w:val="001E06FE"/>
    <w:rsid w:val="002427B8"/>
    <w:rsid w:val="0025314D"/>
    <w:rsid w:val="002735C4"/>
    <w:rsid w:val="002776F0"/>
    <w:rsid w:val="00293328"/>
    <w:rsid w:val="002B53B1"/>
    <w:rsid w:val="00343115"/>
    <w:rsid w:val="003730F0"/>
    <w:rsid w:val="003736BD"/>
    <w:rsid w:val="003B00DE"/>
    <w:rsid w:val="003F7663"/>
    <w:rsid w:val="00405D77"/>
    <w:rsid w:val="00411289"/>
    <w:rsid w:val="00411E45"/>
    <w:rsid w:val="00430C31"/>
    <w:rsid w:val="00436299"/>
    <w:rsid w:val="00436BAD"/>
    <w:rsid w:val="0044032A"/>
    <w:rsid w:val="004536FC"/>
    <w:rsid w:val="00462496"/>
    <w:rsid w:val="00464248"/>
    <w:rsid w:val="00490279"/>
    <w:rsid w:val="004905AF"/>
    <w:rsid w:val="004D5B9F"/>
    <w:rsid w:val="004E6077"/>
    <w:rsid w:val="004F474C"/>
    <w:rsid w:val="00524A1A"/>
    <w:rsid w:val="005645C5"/>
    <w:rsid w:val="00585932"/>
    <w:rsid w:val="005C3BB2"/>
    <w:rsid w:val="005C7377"/>
    <w:rsid w:val="006157AB"/>
    <w:rsid w:val="00650AA3"/>
    <w:rsid w:val="006848F2"/>
    <w:rsid w:val="006A2888"/>
    <w:rsid w:val="006C03C3"/>
    <w:rsid w:val="006E3277"/>
    <w:rsid w:val="006F38FC"/>
    <w:rsid w:val="00702DEB"/>
    <w:rsid w:val="0071337A"/>
    <w:rsid w:val="00724802"/>
    <w:rsid w:val="007548B3"/>
    <w:rsid w:val="00755C6C"/>
    <w:rsid w:val="00783A91"/>
    <w:rsid w:val="007857DC"/>
    <w:rsid w:val="00794861"/>
    <w:rsid w:val="007A1D0D"/>
    <w:rsid w:val="007A314B"/>
    <w:rsid w:val="007B1B92"/>
    <w:rsid w:val="007E6489"/>
    <w:rsid w:val="00800924"/>
    <w:rsid w:val="00817B8A"/>
    <w:rsid w:val="008206B5"/>
    <w:rsid w:val="00823204"/>
    <w:rsid w:val="00833289"/>
    <w:rsid w:val="00872CE0"/>
    <w:rsid w:val="00890108"/>
    <w:rsid w:val="008A6319"/>
    <w:rsid w:val="008D5EB8"/>
    <w:rsid w:val="00943E8C"/>
    <w:rsid w:val="00945660"/>
    <w:rsid w:val="0095448D"/>
    <w:rsid w:val="00956763"/>
    <w:rsid w:val="00964BED"/>
    <w:rsid w:val="009D169F"/>
    <w:rsid w:val="009E070A"/>
    <w:rsid w:val="009F3ADB"/>
    <w:rsid w:val="00A45B3F"/>
    <w:rsid w:val="00A54854"/>
    <w:rsid w:val="00AB0F87"/>
    <w:rsid w:val="00AC7AF6"/>
    <w:rsid w:val="00AE4E0D"/>
    <w:rsid w:val="00B5059D"/>
    <w:rsid w:val="00B6547E"/>
    <w:rsid w:val="00BD0FFC"/>
    <w:rsid w:val="00C04F88"/>
    <w:rsid w:val="00C50CEF"/>
    <w:rsid w:val="00C764D5"/>
    <w:rsid w:val="00C878CD"/>
    <w:rsid w:val="00CD2CF0"/>
    <w:rsid w:val="00CF06CC"/>
    <w:rsid w:val="00D503E3"/>
    <w:rsid w:val="00D54772"/>
    <w:rsid w:val="00D711A6"/>
    <w:rsid w:val="00D877BC"/>
    <w:rsid w:val="00DC4290"/>
    <w:rsid w:val="00DD0784"/>
    <w:rsid w:val="00DD6137"/>
    <w:rsid w:val="00DE0C0A"/>
    <w:rsid w:val="00E81F5A"/>
    <w:rsid w:val="00E841E2"/>
    <w:rsid w:val="00EA026E"/>
    <w:rsid w:val="00EA6B16"/>
    <w:rsid w:val="00EB2A0A"/>
    <w:rsid w:val="00F16CBA"/>
    <w:rsid w:val="00F34FBF"/>
    <w:rsid w:val="00F676EA"/>
    <w:rsid w:val="00F745BA"/>
    <w:rsid w:val="00F85FE3"/>
    <w:rsid w:val="00FB611A"/>
    <w:rsid w:val="00FC3EC3"/>
    <w:rsid w:val="00FD5BB6"/>
    <w:rsid w:val="00FD6E6B"/>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3"/>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663"/>
    <w:pPr>
      <w:jc w:val="center"/>
    </w:pPr>
    <w:rPr>
      <w:sz w:val="24"/>
    </w:rPr>
  </w:style>
  <w:style w:type="character" w:customStyle="1" w:styleId="TitleChar">
    <w:name w:val="Title Char"/>
    <w:basedOn w:val="DefaultParagraphFont"/>
    <w:link w:val="Title"/>
    <w:rsid w:val="003F7663"/>
    <w:rPr>
      <w:rFonts w:ascii="Calibri" w:eastAsia="Times New Roman" w:hAnsi="Calibri" w:cs="Times New Roman"/>
      <w:sz w:val="24"/>
      <w:szCs w:val="20"/>
    </w:rPr>
  </w:style>
  <w:style w:type="paragraph" w:styleId="Subtitle">
    <w:name w:val="Subtitle"/>
    <w:basedOn w:val="Normal"/>
    <w:link w:val="SubtitleChar"/>
    <w:qFormat/>
    <w:rsid w:val="003F7663"/>
    <w:pPr>
      <w:jc w:val="center"/>
    </w:pPr>
    <w:rPr>
      <w:b/>
      <w:sz w:val="28"/>
    </w:rPr>
  </w:style>
  <w:style w:type="character" w:customStyle="1" w:styleId="SubtitleChar">
    <w:name w:val="Subtitle Char"/>
    <w:basedOn w:val="DefaultParagraphFont"/>
    <w:link w:val="Subtitle"/>
    <w:rsid w:val="003F7663"/>
    <w:rPr>
      <w:rFonts w:ascii="Calibri" w:eastAsia="Times New Roman" w:hAnsi="Calibri" w:cs="Times New Roman"/>
      <w:b/>
      <w:sz w:val="28"/>
      <w:szCs w:val="20"/>
    </w:rPr>
  </w:style>
  <w:style w:type="paragraph" w:styleId="Footer">
    <w:name w:val="footer"/>
    <w:basedOn w:val="Normal"/>
    <w:link w:val="FooterChar"/>
    <w:rsid w:val="003F7663"/>
    <w:pPr>
      <w:tabs>
        <w:tab w:val="center" w:pos="4320"/>
        <w:tab w:val="right" w:pos="8640"/>
      </w:tabs>
    </w:pPr>
  </w:style>
  <w:style w:type="character" w:customStyle="1" w:styleId="FooterChar">
    <w:name w:val="Footer Char"/>
    <w:basedOn w:val="DefaultParagraphFont"/>
    <w:link w:val="Footer"/>
    <w:rsid w:val="003F7663"/>
    <w:rPr>
      <w:rFonts w:ascii="Calibri" w:eastAsia="Times New Roman" w:hAnsi="Calibri" w:cs="Times New Roman"/>
      <w:szCs w:val="20"/>
    </w:rPr>
  </w:style>
  <w:style w:type="paragraph" w:customStyle="1" w:styleId="list-1">
    <w:name w:val="list-1"/>
    <w:basedOn w:val="Normal"/>
    <w:link w:val="list-1Char"/>
    <w:qFormat/>
    <w:rsid w:val="003F7663"/>
    <w:pPr>
      <w:numPr>
        <w:numId w:val="1"/>
      </w:numPr>
      <w:spacing w:before="120"/>
      <w:ind w:left="360" w:hanging="180"/>
    </w:pPr>
  </w:style>
  <w:style w:type="character" w:customStyle="1" w:styleId="list-1Char">
    <w:name w:val="list-1 Char"/>
    <w:link w:val="list-1"/>
    <w:rsid w:val="003F7663"/>
    <w:rPr>
      <w:rFonts w:ascii="Calibri" w:eastAsia="Times New Roman" w:hAnsi="Calibri" w:cs="Times New Roman"/>
      <w:szCs w:val="20"/>
    </w:rPr>
  </w:style>
  <w:style w:type="paragraph" w:customStyle="1" w:styleId="body">
    <w:name w:val="body"/>
    <w:basedOn w:val="Normal"/>
    <w:link w:val="bodyChar"/>
    <w:qFormat/>
    <w:rsid w:val="003F7663"/>
    <w:pPr>
      <w:spacing w:before="240"/>
    </w:pPr>
  </w:style>
  <w:style w:type="character" w:customStyle="1" w:styleId="bodyChar">
    <w:name w:val="body Char"/>
    <w:link w:val="body"/>
    <w:rsid w:val="003F766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F7663"/>
    <w:rPr>
      <w:rFonts w:ascii="Tahoma" w:hAnsi="Tahoma" w:cs="Tahoma"/>
      <w:sz w:val="16"/>
      <w:szCs w:val="16"/>
    </w:rPr>
  </w:style>
  <w:style w:type="character" w:customStyle="1" w:styleId="BalloonTextChar">
    <w:name w:val="Balloon Text Char"/>
    <w:basedOn w:val="DefaultParagraphFont"/>
    <w:link w:val="BalloonText"/>
    <w:uiPriority w:val="99"/>
    <w:semiHidden/>
    <w:rsid w:val="003F7663"/>
    <w:rPr>
      <w:rFonts w:ascii="Tahoma" w:eastAsia="Times New Roman" w:hAnsi="Tahoma" w:cs="Tahoma"/>
      <w:sz w:val="16"/>
      <w:szCs w:val="16"/>
    </w:rPr>
  </w:style>
  <w:style w:type="paragraph" w:styleId="Header">
    <w:name w:val="header"/>
    <w:basedOn w:val="Normal"/>
    <w:link w:val="HeaderChar"/>
    <w:uiPriority w:val="99"/>
    <w:unhideWhenUsed/>
    <w:rsid w:val="00833289"/>
    <w:pPr>
      <w:tabs>
        <w:tab w:val="center" w:pos="4680"/>
        <w:tab w:val="right" w:pos="9360"/>
      </w:tabs>
    </w:pPr>
  </w:style>
  <w:style w:type="character" w:customStyle="1" w:styleId="HeaderChar">
    <w:name w:val="Header Char"/>
    <w:basedOn w:val="DefaultParagraphFont"/>
    <w:link w:val="Header"/>
    <w:uiPriority w:val="99"/>
    <w:rsid w:val="0083328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702DEB"/>
    <w:rPr>
      <w:sz w:val="16"/>
      <w:szCs w:val="16"/>
    </w:rPr>
  </w:style>
  <w:style w:type="paragraph" w:styleId="CommentText">
    <w:name w:val="annotation text"/>
    <w:basedOn w:val="Normal"/>
    <w:link w:val="CommentTextChar"/>
    <w:uiPriority w:val="99"/>
    <w:semiHidden/>
    <w:unhideWhenUsed/>
    <w:rsid w:val="00702DEB"/>
    <w:rPr>
      <w:sz w:val="20"/>
    </w:rPr>
  </w:style>
  <w:style w:type="character" w:customStyle="1" w:styleId="CommentTextChar">
    <w:name w:val="Comment Text Char"/>
    <w:basedOn w:val="DefaultParagraphFont"/>
    <w:link w:val="CommentText"/>
    <w:uiPriority w:val="99"/>
    <w:semiHidden/>
    <w:rsid w:val="00702D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DEB"/>
    <w:rPr>
      <w:b/>
      <w:bCs/>
    </w:rPr>
  </w:style>
  <w:style w:type="character" w:customStyle="1" w:styleId="CommentSubjectChar">
    <w:name w:val="Comment Subject Char"/>
    <w:basedOn w:val="CommentTextChar"/>
    <w:link w:val="CommentSubject"/>
    <w:uiPriority w:val="99"/>
    <w:semiHidden/>
    <w:rsid w:val="00702DEB"/>
    <w:rPr>
      <w:rFonts w:ascii="Calibri" w:eastAsia="Times New Roman" w:hAnsi="Calibri" w:cs="Times New Roman"/>
      <w:b/>
      <w:bCs/>
      <w:sz w:val="20"/>
      <w:szCs w:val="20"/>
    </w:rPr>
  </w:style>
  <w:style w:type="paragraph" w:styleId="ListParagraph">
    <w:name w:val="List Paragraph"/>
    <w:basedOn w:val="Normal"/>
    <w:uiPriority w:val="34"/>
    <w:qFormat/>
    <w:rsid w:val="00405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3"/>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663"/>
    <w:pPr>
      <w:jc w:val="center"/>
    </w:pPr>
    <w:rPr>
      <w:sz w:val="24"/>
    </w:rPr>
  </w:style>
  <w:style w:type="character" w:customStyle="1" w:styleId="TitleChar">
    <w:name w:val="Title Char"/>
    <w:basedOn w:val="DefaultParagraphFont"/>
    <w:link w:val="Title"/>
    <w:rsid w:val="003F7663"/>
    <w:rPr>
      <w:rFonts w:ascii="Calibri" w:eastAsia="Times New Roman" w:hAnsi="Calibri" w:cs="Times New Roman"/>
      <w:sz w:val="24"/>
      <w:szCs w:val="20"/>
    </w:rPr>
  </w:style>
  <w:style w:type="paragraph" w:styleId="Subtitle">
    <w:name w:val="Subtitle"/>
    <w:basedOn w:val="Normal"/>
    <w:link w:val="SubtitleChar"/>
    <w:qFormat/>
    <w:rsid w:val="003F7663"/>
    <w:pPr>
      <w:jc w:val="center"/>
    </w:pPr>
    <w:rPr>
      <w:b/>
      <w:sz w:val="28"/>
    </w:rPr>
  </w:style>
  <w:style w:type="character" w:customStyle="1" w:styleId="SubtitleChar">
    <w:name w:val="Subtitle Char"/>
    <w:basedOn w:val="DefaultParagraphFont"/>
    <w:link w:val="Subtitle"/>
    <w:rsid w:val="003F7663"/>
    <w:rPr>
      <w:rFonts w:ascii="Calibri" w:eastAsia="Times New Roman" w:hAnsi="Calibri" w:cs="Times New Roman"/>
      <w:b/>
      <w:sz w:val="28"/>
      <w:szCs w:val="20"/>
    </w:rPr>
  </w:style>
  <w:style w:type="paragraph" w:styleId="Footer">
    <w:name w:val="footer"/>
    <w:basedOn w:val="Normal"/>
    <w:link w:val="FooterChar"/>
    <w:rsid w:val="003F7663"/>
    <w:pPr>
      <w:tabs>
        <w:tab w:val="center" w:pos="4320"/>
        <w:tab w:val="right" w:pos="8640"/>
      </w:tabs>
    </w:pPr>
  </w:style>
  <w:style w:type="character" w:customStyle="1" w:styleId="FooterChar">
    <w:name w:val="Footer Char"/>
    <w:basedOn w:val="DefaultParagraphFont"/>
    <w:link w:val="Footer"/>
    <w:rsid w:val="003F7663"/>
    <w:rPr>
      <w:rFonts w:ascii="Calibri" w:eastAsia="Times New Roman" w:hAnsi="Calibri" w:cs="Times New Roman"/>
      <w:szCs w:val="20"/>
    </w:rPr>
  </w:style>
  <w:style w:type="paragraph" w:customStyle="1" w:styleId="list-1">
    <w:name w:val="list-1"/>
    <w:basedOn w:val="Normal"/>
    <w:link w:val="list-1Char"/>
    <w:qFormat/>
    <w:rsid w:val="003F7663"/>
    <w:pPr>
      <w:numPr>
        <w:numId w:val="1"/>
      </w:numPr>
      <w:spacing w:before="120"/>
      <w:ind w:left="360" w:hanging="180"/>
    </w:pPr>
  </w:style>
  <w:style w:type="character" w:customStyle="1" w:styleId="list-1Char">
    <w:name w:val="list-1 Char"/>
    <w:link w:val="list-1"/>
    <w:rsid w:val="003F7663"/>
    <w:rPr>
      <w:rFonts w:ascii="Calibri" w:eastAsia="Times New Roman" w:hAnsi="Calibri" w:cs="Times New Roman"/>
      <w:szCs w:val="20"/>
    </w:rPr>
  </w:style>
  <w:style w:type="paragraph" w:customStyle="1" w:styleId="body">
    <w:name w:val="body"/>
    <w:basedOn w:val="Normal"/>
    <w:link w:val="bodyChar"/>
    <w:qFormat/>
    <w:rsid w:val="003F7663"/>
    <w:pPr>
      <w:spacing w:before="240"/>
    </w:pPr>
  </w:style>
  <w:style w:type="character" w:customStyle="1" w:styleId="bodyChar">
    <w:name w:val="body Char"/>
    <w:link w:val="body"/>
    <w:rsid w:val="003F766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F7663"/>
    <w:rPr>
      <w:rFonts w:ascii="Tahoma" w:hAnsi="Tahoma" w:cs="Tahoma"/>
      <w:sz w:val="16"/>
      <w:szCs w:val="16"/>
    </w:rPr>
  </w:style>
  <w:style w:type="character" w:customStyle="1" w:styleId="BalloonTextChar">
    <w:name w:val="Balloon Text Char"/>
    <w:basedOn w:val="DefaultParagraphFont"/>
    <w:link w:val="BalloonText"/>
    <w:uiPriority w:val="99"/>
    <w:semiHidden/>
    <w:rsid w:val="003F7663"/>
    <w:rPr>
      <w:rFonts w:ascii="Tahoma" w:eastAsia="Times New Roman" w:hAnsi="Tahoma" w:cs="Tahoma"/>
      <w:sz w:val="16"/>
      <w:szCs w:val="16"/>
    </w:rPr>
  </w:style>
  <w:style w:type="paragraph" w:styleId="Header">
    <w:name w:val="header"/>
    <w:basedOn w:val="Normal"/>
    <w:link w:val="HeaderChar"/>
    <w:uiPriority w:val="99"/>
    <w:unhideWhenUsed/>
    <w:rsid w:val="00833289"/>
    <w:pPr>
      <w:tabs>
        <w:tab w:val="center" w:pos="4680"/>
        <w:tab w:val="right" w:pos="9360"/>
      </w:tabs>
    </w:pPr>
  </w:style>
  <w:style w:type="character" w:customStyle="1" w:styleId="HeaderChar">
    <w:name w:val="Header Char"/>
    <w:basedOn w:val="DefaultParagraphFont"/>
    <w:link w:val="Header"/>
    <w:uiPriority w:val="99"/>
    <w:rsid w:val="0083328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702DEB"/>
    <w:rPr>
      <w:sz w:val="16"/>
      <w:szCs w:val="16"/>
    </w:rPr>
  </w:style>
  <w:style w:type="paragraph" w:styleId="CommentText">
    <w:name w:val="annotation text"/>
    <w:basedOn w:val="Normal"/>
    <w:link w:val="CommentTextChar"/>
    <w:uiPriority w:val="99"/>
    <w:semiHidden/>
    <w:unhideWhenUsed/>
    <w:rsid w:val="00702DEB"/>
    <w:rPr>
      <w:sz w:val="20"/>
    </w:rPr>
  </w:style>
  <w:style w:type="character" w:customStyle="1" w:styleId="CommentTextChar">
    <w:name w:val="Comment Text Char"/>
    <w:basedOn w:val="DefaultParagraphFont"/>
    <w:link w:val="CommentText"/>
    <w:uiPriority w:val="99"/>
    <w:semiHidden/>
    <w:rsid w:val="00702D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DEB"/>
    <w:rPr>
      <w:b/>
      <w:bCs/>
    </w:rPr>
  </w:style>
  <w:style w:type="character" w:customStyle="1" w:styleId="CommentSubjectChar">
    <w:name w:val="Comment Subject Char"/>
    <w:basedOn w:val="CommentTextChar"/>
    <w:link w:val="CommentSubject"/>
    <w:uiPriority w:val="99"/>
    <w:semiHidden/>
    <w:rsid w:val="00702DEB"/>
    <w:rPr>
      <w:rFonts w:ascii="Calibri" w:eastAsia="Times New Roman" w:hAnsi="Calibri" w:cs="Times New Roman"/>
      <w:b/>
      <w:bCs/>
      <w:sz w:val="20"/>
      <w:szCs w:val="20"/>
    </w:rPr>
  </w:style>
  <w:style w:type="paragraph" w:styleId="ListParagraph">
    <w:name w:val="List Paragraph"/>
    <w:basedOn w:val="Normal"/>
    <w:uiPriority w:val="34"/>
    <w:qFormat/>
    <w:rsid w:val="0040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F31F-788E-456B-B0D0-50C661B7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Guilbeau</dc:creator>
  <cp:lastModifiedBy>Nathan Page</cp:lastModifiedBy>
  <cp:revision>8</cp:revision>
  <cp:lastPrinted>2015-09-22T17:36:00Z</cp:lastPrinted>
  <dcterms:created xsi:type="dcterms:W3CDTF">2015-09-22T13:53:00Z</dcterms:created>
  <dcterms:modified xsi:type="dcterms:W3CDTF">2015-09-23T16:54:00Z</dcterms:modified>
</cp:coreProperties>
</file>